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414</w:t>
      </w:r>
    </w:p>
    <w:p>
      <w:r>
        <w:t>Bundesgericht (BGE), 2003-11-11, DE</w:t>
      </w:r>
    </w:p>
    <w:p>
      <w:r>
        <w:rPr>
          <w:b/>
        </w:rPr>
        <w:t xml:space="preserve">Quelle: </w:t>
      </w:r>
      <w:r>
        <w:t>https://mcp.opencaselaw.ch/entscheid/bge_131 V 414</w:t>
      </w:r>
    </w:p>
    <w:p>
      <w:r>
        <w:t>FR: ATF 131 V 414</w:t>
      </w:r>
    </w:p>
    <w:p>
      <w:r>
        <w:t>IT: DTF 131 V 414</w:t>
      </w:r>
    </w:p>
    <w:p>
      <w:pPr>
        <w:pStyle w:val="Heading2"/>
      </w:pPr>
      <w:r>
        <w:t>Regeste</w:t>
      </w:r>
    </w:p>
    <w:p>
      <w:r>
        <w:t>Regeste Art. 12 Abs. 2 ATSV: Einspracheentscheid zu Ungunsten der Einsprache führenden Person. In der angeführten Verordnungsbestimmung ist nunmehr die von der Rechtsprechung entwickelte erweiterte Hinweispflicht festgelegt, wonach der Versicherungsträger die Einsprache führende Person nicht nur auf die drohende Schlechterstellung (reformatio in peius), sondern auch auf die Möglichkeit eines Rückzugs ihrer Einsprache aufmerksam machen muss. Diese doppelte Aufklärungspflicht wäre ihrer Bedeutung entleert, würde man dem Sozialversicherer gleichzeitig gestatten, seine mittels Einsprache angefochtene Verfügung (ohne die erwähnten, der Sicherstellung eines fairen Verfahrens dienenden Hinweise an den Einsprecher) durch Erlass einer Wiedererwägungsverfügung im Sinne einer reformatio in peius aufzuheben oder abzuändern und hernach die Einsprache unter Berufung auf die nicht mehr existierende ursprüngliche Verfügung als gegenstandslos geworden abzuschreiben. (Erw. 1)</w:t>
      </w:r>
    </w:p>
    <w:p>
      <w:pPr>
        <w:pStyle w:val="Heading2"/>
      </w:pPr>
      <w:r>
        <w:t>Erwägungen</w:t>
      </w:r>
    </w:p>
    <w:p>
      <w:r>
        <w:rPr>
          <w:b/>
        </w:rPr>
        <w:t>E. 1</w:t>
      </w:r>
    </w:p>
    <w:p>
      <w:r>
        <w:t>Gemäss Art. 52 Abs. 1 ATSG kann gegen Verfügungen innerhalb von 30 Tagen bei der verfügenden Stelle Einsprache erhoben werden; davon ausgenommen sind prozess- und verfahrensleitende Verfügungen. Laut Art. 12 Abs. 1 ATSV ist der Versicherer an das Begehren der Einsprache führenden Person nicht gebunden; er kann die Verfügung zu Gunsten oder zu Ungunsten der Einsprache führenden Partei abändern. Beabsichtigt er, die Verfügung zu Ungunsten der Einsprache führenden Person abzuändern, gibt er ihr Gelegenheit zum Rückzug der Einsprache (Abs. 2 der genannten Verordnungsbestimmung). Mit diesen Ausführungsbestimmungen hat der Bundesrat die nach Art. 61 lit. d ATSG im Beschwerdeverfahren vor dem kantonalen Versicherungsgericht geltenden Grundsätze auch auf das Einspracheverfahren des jeweils verfügenden Versicherers übertragen. Die nunmehr in Art. 12 Abs. 2 ATSV festgelegte erweiterte Hinweispflicht, wonach der Versicherungsträger die Einsprache führende Person nicht nur auf die drohende Schlechterstellung (reformatio in peius), sondern auch auf die Möglichkeit eines Rückzugs ihrer Einsprache aufmerksam machen muss, galt in den Sozialversicherungsbereichen, welche ein Einspracheverfahren kannten, rechtsprechungsgemäss als direkter Ausfluss der verfassungsrechtlichen Garantie des rechtlichen Gehörs sowie des Fairnessgebots nach Art. 29 Abs. 2 BV und Art. 4 Abs. 1 aBV bereits vor In-Kraft-Treten von ATSG und ATSV am 1. Januar 2003 ( BGE 129 II 395 Erw. 4.4.3, BGE 122 V 166 , BGE 118 V 182 ; RKUV 2000 Nr. U 371 S. 110 Erw. 4b/aa, BGE 118 V 1998 Nr. U 309 S. 460 oben). Diese doppelte BGE 131 V 414 S. 417 Aufklärungspflicht wäre ihrer Bedeutung entleert, würde man dem Sozialversicherer gleichzeitig gestatten, seine mittels Einsprache angefochtene Verfügung (ohne die erwähnten, der Sicherstellung eines fairen Verfahrens dienenden Hinweise an den Einsprecher) durch Erlass einer Wiedererwägungsverfügung im Sinne einer reformatio in peius aufzuheben oder abzuändern und hernach die Einsprache unter Berufung auf die nicht mehr existierende ursprüngliche Verfügung als gegenstandslos geworden abzuschreiben.</w:t>
      </w:r>
    </w:p>
    <w:p>
      <w:r>
        <w:rPr>
          <w:b/>
        </w:rPr>
        <w:t>E. 2</w:t>
      </w:r>
    </w:p>
    <w:p>
      <w:r>
        <w:t>Im hier zu beurteilenden Fall ist die IV-Stelle in unmittelbar hievor beschriebener, Art. 12 Abs. 2 ATSV und den Anspruch des Beschwerdegegners auf rechtliches Gehör verletzender Weise vorgegangen. Dies wurde vom kantonalen Gericht mit dem angefochtenen Entscheid in zutreffender Weise korrigiert. Der Klarheit halber ist beizufügen: Zieht der Versicherte seine Einsprache zurück, bleibt es zumindest zunächst bei der mit der ursprünglichen Rentenverfügung zugesprochenen Viertels-Invalidenrente ab 1. Oktober 2002. Der IV-Stelle steht es indessen frei, im Anschluss an einen Einspracherückzug auf die materiell richterlich unbeurteilt gebliebene Verfügung zu Lasten des Versicherten zurückzukommen, allerdings nur nach Massgabe der nunmehr in Art. 53 Abs. 1 und 2 ATSG verankerten Rückkommenstitel ( BGE 127 V 469 Erw. 2c mit Hinweisen). In diesen Fällen könnte der Eingriff in das Rentenverhältnis grundsätzlich nur mit Wirkung ex nunc et pro futuro erfolgen ( Art. 88 bis Abs. 2 lit. a IVV ).</w:t>
      </w:r>
    </w:p>
    <w:p>
      <w:r>
        <w:rPr>
          <w:b/>
        </w:rPr>
        <w:t>E. 3</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